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D85E" w14:textId="77777777" w:rsidR="006C398A" w:rsidRPr="002E3119" w:rsidRDefault="006C398A" w:rsidP="006C398A">
      <w:pPr>
        <w:jc w:val="center"/>
        <w:rPr>
          <w:b/>
          <w:bCs/>
          <w:lang w:val="el-GR"/>
        </w:rPr>
      </w:pPr>
      <w:r w:rsidRPr="006C398A">
        <w:rPr>
          <w:b/>
          <w:bCs/>
          <w:lang w:val="el-GR"/>
        </w:rPr>
        <w:t xml:space="preserve">Πρόσκληση για Αιτήσεις - Πρόγραμμα </w:t>
      </w:r>
      <w:r w:rsidRPr="006C398A">
        <w:rPr>
          <w:b/>
          <w:bCs/>
        </w:rPr>
        <w:t>WISH</w:t>
      </w:r>
      <w:r w:rsidRPr="006C398A">
        <w:rPr>
          <w:b/>
          <w:bCs/>
          <w:lang w:val="el-GR"/>
        </w:rPr>
        <w:t xml:space="preserve">: </w:t>
      </w:r>
    </w:p>
    <w:p w14:paraId="41877793" w14:textId="77777777" w:rsidR="006C398A" w:rsidRPr="006C398A" w:rsidRDefault="006C398A" w:rsidP="006C398A">
      <w:pPr>
        <w:jc w:val="center"/>
        <w:rPr>
          <w:b/>
          <w:bCs/>
          <w:lang w:val="el-GR"/>
        </w:rPr>
      </w:pPr>
      <w:r w:rsidRPr="006C398A">
        <w:rPr>
          <w:b/>
          <w:bCs/>
          <w:lang w:val="el-GR"/>
        </w:rPr>
        <w:t>Διαδρομή Υψηλής Απόδοσης για Γυναίκες Προπονήτριες στον Αθλητισμό</w:t>
      </w:r>
    </w:p>
    <w:p w14:paraId="05030BB0" w14:textId="77777777" w:rsidR="006C398A" w:rsidRPr="006C398A" w:rsidRDefault="006C398A" w:rsidP="006C398A">
      <w:pPr>
        <w:jc w:val="center"/>
        <w:rPr>
          <w:lang w:val="el-GR"/>
        </w:rPr>
      </w:pPr>
    </w:p>
    <w:p w14:paraId="60E404C6" w14:textId="77777777" w:rsidR="006C398A" w:rsidRPr="006C398A" w:rsidRDefault="006C398A" w:rsidP="006C398A">
      <w:pPr>
        <w:jc w:val="both"/>
        <w:rPr>
          <w:lang w:val="el-GR"/>
        </w:rPr>
      </w:pPr>
      <w:r w:rsidRPr="006C398A">
        <w:rPr>
          <w:lang w:val="el-GR"/>
        </w:rPr>
        <w:t xml:space="preserve">Το Τμήμα Συμμετοχής και Ανάπτυξης της </w:t>
      </w:r>
      <w:r w:rsidRPr="006C398A">
        <w:t>World</w:t>
      </w:r>
      <w:r w:rsidRPr="006C398A">
        <w:rPr>
          <w:lang w:val="el-GR"/>
        </w:rPr>
        <w:t xml:space="preserve"> </w:t>
      </w:r>
      <w:r w:rsidRPr="006C398A">
        <w:t>Sailing</w:t>
      </w:r>
      <w:r w:rsidRPr="006C398A">
        <w:rPr>
          <w:lang w:val="el-GR"/>
        </w:rPr>
        <w:t xml:space="preserve"> είναι στην ευχάριστη θέση να σας κοινοποιήσει την τρίτη ευκαιρία για προπονήτριες να υποβάλουν αίτηση για συμμετοχή στο πρόγραμμα</w:t>
      </w:r>
      <w:r w:rsidRPr="006C398A">
        <w:t> </w:t>
      </w:r>
      <w:r w:rsidRPr="006C398A">
        <w:rPr>
          <w:b/>
          <w:bCs/>
        </w:rPr>
        <w:t>Women</w:t>
      </w:r>
      <w:r w:rsidRPr="006C398A">
        <w:rPr>
          <w:b/>
          <w:bCs/>
          <w:lang w:val="el-GR"/>
        </w:rPr>
        <w:t xml:space="preserve"> </w:t>
      </w:r>
      <w:r w:rsidRPr="006C398A">
        <w:rPr>
          <w:b/>
          <w:bCs/>
        </w:rPr>
        <w:t>in</w:t>
      </w:r>
      <w:r w:rsidRPr="006C398A">
        <w:rPr>
          <w:b/>
          <w:bCs/>
          <w:lang w:val="el-GR"/>
        </w:rPr>
        <w:t xml:space="preserve"> </w:t>
      </w:r>
      <w:r w:rsidRPr="006C398A">
        <w:rPr>
          <w:b/>
          <w:bCs/>
        </w:rPr>
        <w:t>Sport</w:t>
      </w:r>
      <w:r w:rsidRPr="006C398A">
        <w:rPr>
          <w:b/>
          <w:bCs/>
          <w:lang w:val="el-GR"/>
        </w:rPr>
        <w:t xml:space="preserve"> </w:t>
      </w:r>
      <w:r w:rsidRPr="006C398A">
        <w:rPr>
          <w:b/>
          <w:bCs/>
        </w:rPr>
        <w:t>High</w:t>
      </w:r>
      <w:r w:rsidRPr="006C398A">
        <w:rPr>
          <w:b/>
          <w:bCs/>
          <w:lang w:val="el-GR"/>
        </w:rPr>
        <w:t xml:space="preserve"> </w:t>
      </w:r>
      <w:r w:rsidRPr="006C398A">
        <w:rPr>
          <w:b/>
          <w:bCs/>
        </w:rPr>
        <w:t>Performance</w:t>
      </w:r>
      <w:r w:rsidRPr="006C398A">
        <w:rPr>
          <w:b/>
          <w:bCs/>
          <w:lang w:val="el-GR"/>
        </w:rPr>
        <w:t xml:space="preserve"> </w:t>
      </w:r>
      <w:r w:rsidRPr="006C398A">
        <w:rPr>
          <w:b/>
          <w:bCs/>
        </w:rPr>
        <w:t>Coaching</w:t>
      </w:r>
      <w:r w:rsidRPr="006C398A">
        <w:rPr>
          <w:lang w:val="el-GR"/>
        </w:rPr>
        <w:t>, γνωστό και ως</w:t>
      </w:r>
      <w:r w:rsidRPr="006C398A">
        <w:t> </w:t>
      </w:r>
      <w:r w:rsidRPr="006C398A">
        <w:rPr>
          <w:b/>
          <w:bCs/>
        </w:rPr>
        <w:t>WISH</w:t>
      </w:r>
      <w:r w:rsidRPr="006C398A">
        <w:rPr>
          <w:lang w:val="el-GR"/>
        </w:rPr>
        <w:t>.</w:t>
      </w:r>
    </w:p>
    <w:p w14:paraId="269815B8" w14:textId="77777777" w:rsidR="006C398A" w:rsidRPr="006C398A" w:rsidRDefault="006C398A" w:rsidP="006C398A">
      <w:pPr>
        <w:jc w:val="both"/>
        <w:rPr>
          <w:lang w:val="el-GR"/>
        </w:rPr>
      </w:pPr>
      <w:r w:rsidRPr="006C398A">
        <w:rPr>
          <w:lang w:val="el-GR"/>
        </w:rPr>
        <w:t xml:space="preserve">Το πρόγραμμα </w:t>
      </w:r>
      <w:r w:rsidRPr="006C398A">
        <w:t>WISH</w:t>
      </w:r>
      <w:r w:rsidRPr="006C398A">
        <w:rPr>
          <w:lang w:val="el-GR"/>
        </w:rPr>
        <w:t xml:space="preserve"> έχει αναπτυχθεί από τη Διεθνή Ολυμπιακή Επιτροπή/Ολυμπιακή Αλληλεγγύη (</w:t>
      </w:r>
      <w:r w:rsidRPr="006C398A">
        <w:t>IOC</w:t>
      </w:r>
      <w:r w:rsidRPr="006C398A">
        <w:rPr>
          <w:lang w:val="el-GR"/>
        </w:rPr>
        <w:t>/</w:t>
      </w:r>
      <w:r w:rsidRPr="006C398A">
        <w:t>Olympic</w:t>
      </w:r>
      <w:r w:rsidRPr="006C398A">
        <w:rPr>
          <w:lang w:val="el-GR"/>
        </w:rPr>
        <w:t xml:space="preserve"> </w:t>
      </w:r>
      <w:r w:rsidRPr="006C398A">
        <w:t>Solidarity</w:t>
      </w:r>
      <w:r w:rsidRPr="006C398A">
        <w:rPr>
          <w:lang w:val="el-GR"/>
        </w:rPr>
        <w:t>), την Ένωση Θερινών Ολυμπιακών Διεθνών Ομοσπονδιών (</w:t>
      </w:r>
      <w:r w:rsidRPr="006C398A">
        <w:t>ASOIF</w:t>
      </w:r>
      <w:r w:rsidRPr="006C398A">
        <w:rPr>
          <w:lang w:val="el-GR"/>
        </w:rPr>
        <w:t>), την Ένωση Διεθνών Ομοσπονδιών Χειμερινών Ολυμπιακών Αθλημάτων (</w:t>
      </w:r>
      <w:r w:rsidRPr="006C398A">
        <w:t>AIOWF</w:t>
      </w:r>
      <w:r w:rsidRPr="006C398A">
        <w:rPr>
          <w:lang w:val="el-GR"/>
        </w:rPr>
        <w:t>) και αρκετές Διεθνείς Ομοσπονδίες που ήδη υλοποιούν προγράμματα για την ενίσχυση των ευκαιριών και των διαδρομών για γυναίκες προπονήτριες υψηλής απόδοσης.</w:t>
      </w:r>
    </w:p>
    <w:p w14:paraId="3385FC00" w14:textId="77777777" w:rsidR="006C398A" w:rsidRPr="006C398A" w:rsidRDefault="006C398A" w:rsidP="006C398A">
      <w:pPr>
        <w:jc w:val="both"/>
        <w:rPr>
          <w:lang w:val="el-GR"/>
        </w:rPr>
      </w:pPr>
      <w:r w:rsidRPr="006C398A">
        <w:rPr>
          <w:lang w:val="el-GR"/>
        </w:rPr>
        <w:t>Το πρόγραμμα έχει διάρκεια</w:t>
      </w:r>
      <w:r w:rsidRPr="006C398A">
        <w:t> </w:t>
      </w:r>
      <w:r w:rsidRPr="006C398A">
        <w:rPr>
          <w:b/>
          <w:bCs/>
          <w:lang w:val="el-GR"/>
        </w:rPr>
        <w:t>21 μηνών</w:t>
      </w:r>
      <w:r w:rsidRPr="006C398A">
        <w:t> </w:t>
      </w:r>
      <w:r w:rsidRPr="006C398A">
        <w:rPr>
          <w:lang w:val="el-GR"/>
        </w:rPr>
        <w:t>και επιτρέπει σε γυναίκες που είτε δραστηριοποιούνται είτε έχουν τη δυνατότητα να δραστηριοποιηθούν στην ελίτ προπονητική να αποκτήσουν πρόσβαση σε εκπαίδευση ηγεσίας, καθοδήγηση ηγεσίας (</w:t>
      </w:r>
      <w:r w:rsidRPr="006C398A">
        <w:t>leadership</w:t>
      </w:r>
      <w:r w:rsidRPr="006C398A">
        <w:rPr>
          <w:lang w:val="el-GR"/>
        </w:rPr>
        <w:t xml:space="preserve"> </w:t>
      </w:r>
      <w:r w:rsidRPr="006C398A">
        <w:t>mentoring</w:t>
      </w:r>
      <w:r w:rsidRPr="006C398A">
        <w:rPr>
          <w:lang w:val="el-GR"/>
        </w:rPr>
        <w:t>) και εξειδικευμένη καθοδήγηση σε επίπεδο αθλήματος.</w:t>
      </w:r>
      <w:r w:rsidRPr="006C398A">
        <w:t> </w:t>
      </w:r>
      <w:r w:rsidRPr="006C398A">
        <w:rPr>
          <w:b/>
          <w:bCs/>
          <w:lang w:val="el-GR"/>
        </w:rPr>
        <w:t>Σημειώνεται ότι αυτό δεν είναι ένα τεχνικό πρόγραμμα προπονητικής ιστιοπλοΐας.</w:t>
      </w:r>
    </w:p>
    <w:p w14:paraId="362162C5" w14:textId="77777777" w:rsidR="006C398A" w:rsidRPr="006C398A" w:rsidRDefault="006C398A" w:rsidP="006C398A">
      <w:pPr>
        <w:jc w:val="both"/>
        <w:rPr>
          <w:lang w:val="el-GR"/>
        </w:rPr>
      </w:pPr>
      <w:r w:rsidRPr="006C398A">
        <w:rPr>
          <w:lang w:val="el-GR"/>
        </w:rPr>
        <w:t>Οι προπονήτριες που θα επιλεγούν θα πρέπει ήδη να αποτελούν ή να έχουν τη δυνατότητα να αποτελέσουν μέρος της εθνικής αποστολής στα</w:t>
      </w:r>
      <w:r w:rsidRPr="006C398A">
        <w:t> </w:t>
      </w:r>
      <w:r w:rsidRPr="006C398A">
        <w:rPr>
          <w:b/>
          <w:bCs/>
          <w:lang w:val="el-GR"/>
        </w:rPr>
        <w:t>Περιφερειακά ή Ηπειρωτικά Πρωταθλήματα, τα Παγκόσμια Πρωταθλήματα, τους Ολυμπιακούς Αγώνες Νέων (</w:t>
      </w:r>
      <w:r w:rsidRPr="006C398A">
        <w:rPr>
          <w:b/>
          <w:bCs/>
        </w:rPr>
        <w:t>YOG</w:t>
      </w:r>
      <w:r w:rsidRPr="006C398A">
        <w:rPr>
          <w:b/>
          <w:bCs/>
          <w:lang w:val="el-GR"/>
        </w:rPr>
        <w:t>) και/ή τους Ολυμπιακούς Αγώνες στην Ιστιοπλοΐα.</w:t>
      </w:r>
    </w:p>
    <w:p w14:paraId="39D6E015" w14:textId="77777777" w:rsidR="006C398A" w:rsidRPr="006C398A" w:rsidRDefault="006C398A" w:rsidP="006C398A">
      <w:pPr>
        <w:jc w:val="both"/>
        <w:rPr>
          <w:lang w:val="el-GR"/>
        </w:rPr>
      </w:pPr>
      <w:r w:rsidRPr="006C398A">
        <w:rPr>
          <w:lang w:val="el-GR"/>
        </w:rPr>
        <w:t>Ζητάμε από τις Εθνικές Αρχές Ιστιοπλοΐας (</w:t>
      </w:r>
      <w:r w:rsidRPr="006C398A">
        <w:rPr>
          <w:b/>
          <w:bCs/>
        </w:rPr>
        <w:t>MNAs</w:t>
      </w:r>
      <w:r w:rsidRPr="006C398A">
        <w:rPr>
          <w:lang w:val="el-GR"/>
        </w:rPr>
        <w:t>) να προτείνουν υποψήφιες προπονήτριες που πληρούν τα ακόλουθα κριτήρια:</w:t>
      </w:r>
    </w:p>
    <w:p w14:paraId="035F482B" w14:textId="77777777" w:rsidR="006C398A" w:rsidRPr="006C398A" w:rsidRDefault="006C398A" w:rsidP="006C398A">
      <w:pPr>
        <w:numPr>
          <w:ilvl w:val="0"/>
          <w:numId w:val="2"/>
        </w:numPr>
        <w:jc w:val="both"/>
        <w:rPr>
          <w:lang w:val="el-GR"/>
        </w:rPr>
      </w:pPr>
      <w:r w:rsidRPr="006C398A">
        <w:rPr>
          <w:lang w:val="el-GR"/>
        </w:rPr>
        <w:t>Έχουν ενσωματωθεί ή είναι σε θέση να ενσωματωθούν σε εθνικά προγράμματα που στοχεύουν στην πρόκριση αθλητών για τα</w:t>
      </w:r>
      <w:r w:rsidRPr="006C398A">
        <w:t> </w:t>
      </w:r>
      <w:r w:rsidRPr="006C398A">
        <w:rPr>
          <w:b/>
          <w:bCs/>
          <w:lang w:val="el-GR"/>
        </w:rPr>
        <w:t>Περιφερειακά ή Ηπειρωτικά Πρωταθλήματα, τους Ολυμπιακούς Αγώνες Νέων (</w:t>
      </w:r>
      <w:r w:rsidRPr="006C398A">
        <w:rPr>
          <w:b/>
          <w:bCs/>
        </w:rPr>
        <w:t>YOG</w:t>
      </w:r>
      <w:r w:rsidRPr="006C398A">
        <w:rPr>
          <w:b/>
          <w:bCs/>
          <w:lang w:val="el-GR"/>
        </w:rPr>
        <w:t>), τα Παγκόσμια Πρωταθλήματα και τους Ολυμπιακούς Αγώνες</w:t>
      </w:r>
      <w:r w:rsidRPr="006C398A">
        <w:rPr>
          <w:lang w:val="el-GR"/>
        </w:rPr>
        <w:t>, μέσω διεθνών αγώνων ή του συστήματος Τριμερούς Επιλογής (</w:t>
      </w:r>
      <w:r w:rsidRPr="006C398A">
        <w:t>Tripartite</w:t>
      </w:r>
      <w:r w:rsidRPr="006C398A">
        <w:rPr>
          <w:lang w:val="el-GR"/>
        </w:rPr>
        <w:t xml:space="preserve"> </w:t>
      </w:r>
      <w:r w:rsidRPr="006C398A">
        <w:t>System</w:t>
      </w:r>
      <w:r w:rsidRPr="006C398A">
        <w:rPr>
          <w:lang w:val="el-GR"/>
        </w:rPr>
        <w:t>).</w:t>
      </w:r>
      <w:r w:rsidR="00ED7258">
        <w:rPr>
          <w:lang w:val="el-GR"/>
        </w:rPr>
        <w:t xml:space="preserve"> (</w:t>
      </w:r>
      <w:r w:rsidR="00ED7258">
        <w:t xml:space="preserve">Supporting letter </w:t>
      </w:r>
      <w:r w:rsidR="00ED7258">
        <w:rPr>
          <w:lang w:val="el-GR"/>
        </w:rPr>
        <w:t>από ΕΙΟ</w:t>
      </w:r>
      <w:r w:rsidR="00ED7258">
        <w:t>).</w:t>
      </w:r>
    </w:p>
    <w:p w14:paraId="7960587C" w14:textId="77777777" w:rsidR="006C398A" w:rsidRPr="006C398A" w:rsidRDefault="006C398A" w:rsidP="006C398A">
      <w:pPr>
        <w:numPr>
          <w:ilvl w:val="0"/>
          <w:numId w:val="2"/>
        </w:numPr>
        <w:jc w:val="both"/>
        <w:rPr>
          <w:lang w:val="el-GR"/>
        </w:rPr>
      </w:pPr>
      <w:r w:rsidRPr="006C398A">
        <w:rPr>
          <w:b/>
          <w:bCs/>
          <w:lang w:val="el-GR"/>
        </w:rPr>
        <w:t>Δεν έχουν ιστορικό</w:t>
      </w:r>
      <w:r w:rsidRPr="006C398A">
        <w:t> </w:t>
      </w:r>
      <w:r w:rsidRPr="006C398A">
        <w:rPr>
          <w:lang w:val="el-GR"/>
        </w:rPr>
        <w:t xml:space="preserve">παραβίασης κανονισμών </w:t>
      </w:r>
      <w:proofErr w:type="spellStart"/>
      <w:r w:rsidRPr="006C398A">
        <w:rPr>
          <w:lang w:val="el-GR"/>
        </w:rPr>
        <w:t>αντι</w:t>
      </w:r>
      <w:proofErr w:type="spellEnd"/>
      <w:r w:rsidRPr="006C398A">
        <w:rPr>
          <w:lang w:val="el-GR"/>
        </w:rPr>
        <w:t>-ντόπινγκ, παραβίασης κανονισμών ασφαλούς αθλητισμού (</w:t>
      </w:r>
      <w:r w:rsidRPr="006C398A">
        <w:t>safeguarding</w:t>
      </w:r>
      <w:r w:rsidRPr="006C398A">
        <w:rPr>
          <w:lang w:val="el-GR"/>
        </w:rPr>
        <w:t xml:space="preserve"> </w:t>
      </w:r>
      <w:r w:rsidRPr="006C398A">
        <w:t>violation</w:t>
      </w:r>
      <w:r w:rsidRPr="006C398A">
        <w:rPr>
          <w:lang w:val="el-GR"/>
        </w:rPr>
        <w:t>), χειραγώγησης αγώνων ή άλλων ηθικών παραπτωμάτων.(</w:t>
      </w:r>
      <w:r>
        <w:rPr>
          <w:lang w:val="el-GR"/>
        </w:rPr>
        <w:t xml:space="preserve">Υπεύθυνη δήλωση στο </w:t>
      </w:r>
      <w:hyperlink r:id="rId5" w:history="1">
        <w:r w:rsidRPr="006C398A">
          <w:rPr>
            <w:rStyle w:val="-"/>
          </w:rPr>
          <w:t>gov</w:t>
        </w:r>
        <w:r w:rsidRPr="006C398A">
          <w:rPr>
            <w:rStyle w:val="-"/>
            <w:lang w:val="el-GR"/>
          </w:rPr>
          <w:t>.</w:t>
        </w:r>
        <w:r w:rsidRPr="006C398A">
          <w:rPr>
            <w:rStyle w:val="-"/>
          </w:rPr>
          <w:t>gr</w:t>
        </w:r>
      </w:hyperlink>
      <w:r w:rsidRPr="006C398A">
        <w:rPr>
          <w:lang w:val="el-GR"/>
        </w:rPr>
        <w:t xml:space="preserve">) </w:t>
      </w:r>
    </w:p>
    <w:p w14:paraId="002F761A" w14:textId="77777777" w:rsidR="006C398A" w:rsidRPr="006C398A" w:rsidRDefault="006C398A" w:rsidP="006C398A">
      <w:pPr>
        <w:numPr>
          <w:ilvl w:val="0"/>
          <w:numId w:val="2"/>
        </w:numPr>
        <w:jc w:val="both"/>
        <w:rPr>
          <w:lang w:val="el-GR"/>
        </w:rPr>
      </w:pPr>
      <w:r w:rsidRPr="006C398A">
        <w:rPr>
          <w:lang w:val="el-GR"/>
        </w:rPr>
        <w:t>Είναι σε θέση να</w:t>
      </w:r>
      <w:r w:rsidRPr="006C398A">
        <w:t> </w:t>
      </w:r>
      <w:r w:rsidRPr="006C398A">
        <w:rPr>
          <w:b/>
          <w:bCs/>
          <w:lang w:val="el-GR"/>
        </w:rPr>
        <w:t>δεσμευτούν</w:t>
      </w:r>
      <w:r w:rsidRPr="006C398A">
        <w:t> </w:t>
      </w:r>
      <w:r w:rsidRPr="006C398A">
        <w:rPr>
          <w:lang w:val="el-GR"/>
        </w:rPr>
        <w:t>για όλη τη διάρκεια του προγράμματος:</w:t>
      </w:r>
    </w:p>
    <w:p w14:paraId="37D26A09" w14:textId="77777777" w:rsidR="006C398A" w:rsidRPr="006C398A" w:rsidRDefault="006C398A" w:rsidP="006C398A">
      <w:pPr>
        <w:numPr>
          <w:ilvl w:val="1"/>
          <w:numId w:val="2"/>
        </w:numPr>
        <w:jc w:val="both"/>
        <w:rPr>
          <w:lang w:val="el-GR"/>
        </w:rPr>
      </w:pPr>
      <w:r w:rsidRPr="006C398A">
        <w:rPr>
          <w:lang w:val="el-GR"/>
        </w:rPr>
        <w:t>Έναρξη του διαδικτυακού μέρους του προγράμματος:</w:t>
      </w:r>
      <w:r w:rsidRPr="006C398A">
        <w:t> </w:t>
      </w:r>
      <w:r w:rsidRPr="006C398A">
        <w:rPr>
          <w:b/>
          <w:bCs/>
          <w:lang w:val="el-GR"/>
        </w:rPr>
        <w:t>5 Μαΐου 2025</w:t>
      </w:r>
    </w:p>
    <w:p w14:paraId="1E3AA3A7" w14:textId="77777777" w:rsidR="006C398A" w:rsidRPr="006C398A" w:rsidRDefault="006C398A" w:rsidP="006C398A">
      <w:pPr>
        <w:numPr>
          <w:ilvl w:val="1"/>
          <w:numId w:val="2"/>
        </w:numPr>
        <w:jc w:val="both"/>
        <w:rPr>
          <w:lang w:val="el-GR"/>
        </w:rPr>
      </w:pPr>
      <w:r w:rsidRPr="006C398A">
        <w:rPr>
          <w:lang w:val="el-GR"/>
        </w:rPr>
        <w:t>Διαθεσιμότητα για</w:t>
      </w:r>
      <w:r w:rsidRPr="006C398A">
        <w:t> </w:t>
      </w:r>
      <w:r w:rsidRPr="006C398A">
        <w:rPr>
          <w:b/>
          <w:bCs/>
          <w:lang w:val="el-GR"/>
        </w:rPr>
        <w:t>δια ζώσης συνεδρία από 28 Ιουλίου έως 1 Αυγούστου 2025</w:t>
      </w:r>
      <w:r w:rsidRPr="006C398A">
        <w:t> </w:t>
      </w:r>
      <w:r w:rsidRPr="006C398A">
        <w:rPr>
          <w:lang w:val="el-GR"/>
        </w:rPr>
        <w:t xml:space="preserve">στο Ηνωμένο Βασίλειο. </w:t>
      </w:r>
      <w:r>
        <w:t>(</w:t>
      </w:r>
      <w:r>
        <w:rPr>
          <w:lang w:val="el-GR"/>
        </w:rPr>
        <w:t xml:space="preserve">Υπεύθυνη δήλωση στο </w:t>
      </w:r>
      <w:hyperlink r:id="rId6" w:history="1">
        <w:r w:rsidRPr="006C398A">
          <w:rPr>
            <w:rStyle w:val="-"/>
          </w:rPr>
          <w:t>gov.gr</w:t>
        </w:r>
      </w:hyperlink>
      <w:r>
        <w:t>)</w:t>
      </w:r>
    </w:p>
    <w:p w14:paraId="4AA5115D" w14:textId="77777777" w:rsidR="006C398A" w:rsidRDefault="006C398A" w:rsidP="006C398A">
      <w:pPr>
        <w:numPr>
          <w:ilvl w:val="0"/>
          <w:numId w:val="2"/>
        </w:numPr>
        <w:jc w:val="both"/>
        <w:rPr>
          <w:lang w:val="el-GR"/>
        </w:rPr>
      </w:pPr>
      <w:r w:rsidRPr="006C398A">
        <w:rPr>
          <w:lang w:val="el-GR"/>
        </w:rPr>
        <w:t>Διαθέτουν</w:t>
      </w:r>
      <w:r w:rsidRPr="006C398A">
        <w:t> </w:t>
      </w:r>
      <w:r w:rsidRPr="006C398A">
        <w:rPr>
          <w:b/>
          <w:bCs/>
          <w:lang w:val="el-GR"/>
        </w:rPr>
        <w:t>καλή γνώση γραπτών και προφορικών αγγλικών</w:t>
      </w:r>
      <w:r w:rsidRPr="006C398A">
        <w:t> </w:t>
      </w:r>
      <w:r w:rsidRPr="006C398A">
        <w:rPr>
          <w:lang w:val="el-GR"/>
        </w:rPr>
        <w:t>(ελάχιστο επίπεδο</w:t>
      </w:r>
      <w:r w:rsidRPr="006C398A">
        <w:t> </w:t>
      </w:r>
      <w:r w:rsidRPr="006C398A">
        <w:rPr>
          <w:b/>
          <w:bCs/>
        </w:rPr>
        <w:t>IELTS</w:t>
      </w:r>
      <w:r w:rsidRPr="006C398A">
        <w:rPr>
          <w:b/>
          <w:bCs/>
          <w:lang w:val="el-GR"/>
        </w:rPr>
        <w:t xml:space="preserve"> 6.5</w:t>
      </w:r>
      <w:r w:rsidRPr="006C398A">
        <w:rPr>
          <w:lang w:val="el-GR"/>
        </w:rPr>
        <w:t xml:space="preserve">). </w:t>
      </w:r>
      <w:r>
        <w:t>(</w:t>
      </w:r>
      <w:r>
        <w:rPr>
          <w:lang w:val="el-GR"/>
        </w:rPr>
        <w:t>Πτυχίο αγγλικών)</w:t>
      </w:r>
    </w:p>
    <w:p w14:paraId="3997F281" w14:textId="77777777" w:rsidR="006C398A" w:rsidRDefault="006C398A" w:rsidP="006C398A">
      <w:pPr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 xml:space="preserve">Βιογραφικό </w:t>
      </w:r>
      <w:r w:rsidR="00DB7897">
        <w:rPr>
          <w:lang w:val="el-GR"/>
        </w:rPr>
        <w:t>στα αγγλικά</w:t>
      </w:r>
    </w:p>
    <w:p w14:paraId="153F10EA" w14:textId="77777777" w:rsidR="00DB7897" w:rsidRDefault="00DB7897" w:rsidP="006C398A">
      <w:pPr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 xml:space="preserve">Αντίγραφο διαβατηρίου - </w:t>
      </w:r>
      <w:r w:rsidRPr="00DB7897">
        <w:rPr>
          <w:lang w:val="el-GR"/>
        </w:rPr>
        <w:t>ιδανικά σε ισχύ στις ημερομηνίες που χρειάζεται φυσική παρουσία</w:t>
      </w:r>
    </w:p>
    <w:p w14:paraId="2F789084" w14:textId="77777777" w:rsidR="006C398A" w:rsidRPr="00ED7258" w:rsidRDefault="006C398A" w:rsidP="006C398A">
      <w:pPr>
        <w:jc w:val="both"/>
        <w:rPr>
          <w:b/>
          <w:bCs/>
          <w:lang w:val="el-GR"/>
        </w:rPr>
      </w:pPr>
      <w:r w:rsidRPr="006C398A">
        <w:rPr>
          <w:b/>
          <w:bCs/>
          <w:lang w:val="el-GR"/>
        </w:rPr>
        <w:t>Επιπλέον, οι Εθνικές Ολυμπιακές Επιτροπές (</w:t>
      </w:r>
      <w:r w:rsidRPr="006C398A">
        <w:rPr>
          <w:b/>
          <w:bCs/>
        </w:rPr>
        <w:t>NOCs</w:t>
      </w:r>
      <w:r w:rsidRPr="006C398A">
        <w:rPr>
          <w:b/>
          <w:bCs/>
          <w:lang w:val="el-GR"/>
        </w:rPr>
        <w:t>) και οι Εθνικές Ομοσπονδίες (</w:t>
      </w:r>
      <w:r w:rsidRPr="006C398A">
        <w:rPr>
          <w:b/>
          <w:bCs/>
        </w:rPr>
        <w:t>NFs</w:t>
      </w:r>
      <w:r w:rsidRPr="006C398A">
        <w:rPr>
          <w:b/>
          <w:bCs/>
          <w:lang w:val="el-GR"/>
        </w:rPr>
        <w:t>) πρέπει να συμφωνήσουν να ενσωματώσουν αυτές τις προπονήτριες στην προετοιμασία, την εκπαίδευση και τις προπονητικές δραστηριότητες ενόψει των</w:t>
      </w:r>
      <w:r w:rsidRPr="006C398A">
        <w:rPr>
          <w:b/>
          <w:bCs/>
        </w:rPr>
        <w:t> </w:t>
      </w:r>
      <w:r w:rsidRPr="006C398A">
        <w:rPr>
          <w:b/>
          <w:bCs/>
          <w:lang w:val="el-GR"/>
        </w:rPr>
        <w:t>Περιφερειακών, Ηπειρωτικών και Ολυμπιακών Αγώνων</w:t>
      </w:r>
      <w:r w:rsidRPr="006C398A">
        <w:rPr>
          <w:b/>
          <w:bCs/>
        </w:rPr>
        <w:t> </w:t>
      </w:r>
      <w:r w:rsidRPr="006C398A">
        <w:rPr>
          <w:b/>
          <w:bCs/>
          <w:lang w:val="el-GR"/>
        </w:rPr>
        <w:t>ως μέρος των αποστολών τους για το</w:t>
      </w:r>
      <w:r w:rsidRPr="006C398A">
        <w:rPr>
          <w:b/>
          <w:bCs/>
        </w:rPr>
        <w:t> </w:t>
      </w:r>
      <w:r w:rsidRPr="006C398A">
        <w:rPr>
          <w:b/>
          <w:bCs/>
          <w:lang w:val="el-GR"/>
        </w:rPr>
        <w:t>Ντακάρ 2026</w:t>
      </w:r>
      <w:r w:rsidRPr="006C398A">
        <w:rPr>
          <w:b/>
          <w:bCs/>
        </w:rPr>
        <w:t> </w:t>
      </w:r>
      <w:r w:rsidRPr="006C398A">
        <w:rPr>
          <w:b/>
          <w:bCs/>
          <w:lang w:val="el-GR"/>
        </w:rPr>
        <w:t>και/ή το</w:t>
      </w:r>
      <w:r w:rsidRPr="006C398A">
        <w:rPr>
          <w:b/>
          <w:bCs/>
        </w:rPr>
        <w:t> </w:t>
      </w:r>
      <w:proofErr w:type="spellStart"/>
      <w:r w:rsidRPr="006C398A">
        <w:rPr>
          <w:b/>
          <w:bCs/>
          <w:lang w:val="el-GR"/>
        </w:rPr>
        <w:t>Λος</w:t>
      </w:r>
      <w:proofErr w:type="spellEnd"/>
      <w:r w:rsidRPr="006C398A">
        <w:rPr>
          <w:b/>
          <w:bCs/>
          <w:lang w:val="el-GR"/>
        </w:rPr>
        <w:t xml:space="preserve"> </w:t>
      </w:r>
      <w:proofErr w:type="spellStart"/>
      <w:r w:rsidRPr="006C398A">
        <w:rPr>
          <w:b/>
          <w:bCs/>
          <w:lang w:val="el-GR"/>
        </w:rPr>
        <w:t>Άντζελες</w:t>
      </w:r>
      <w:proofErr w:type="spellEnd"/>
      <w:r w:rsidRPr="006C398A">
        <w:rPr>
          <w:b/>
          <w:bCs/>
          <w:lang w:val="el-GR"/>
        </w:rPr>
        <w:t xml:space="preserve"> 2028.</w:t>
      </w:r>
      <w:r w:rsidRPr="006C398A">
        <w:rPr>
          <w:lang w:val="el-GR"/>
        </w:rPr>
        <w:t xml:space="preserve">Οι ενδιαφερόμενες υποψήφιες πρέπει να στείλουν το βιογραφικό </w:t>
      </w:r>
      <w:r>
        <w:rPr>
          <w:lang w:val="el-GR"/>
        </w:rPr>
        <w:t xml:space="preserve">τους, </w:t>
      </w:r>
      <w:r w:rsidRPr="006C398A">
        <w:rPr>
          <w:lang w:val="el-GR"/>
        </w:rPr>
        <w:t>τις πιστοποιήσεις αγγλικής γλώσσας</w:t>
      </w:r>
      <w:r>
        <w:rPr>
          <w:lang w:val="el-GR"/>
        </w:rPr>
        <w:t xml:space="preserve"> και υπεύθυνες δηλώσεις </w:t>
      </w:r>
      <w:r w:rsidRPr="006C398A">
        <w:rPr>
          <w:lang w:val="el-GR"/>
        </w:rPr>
        <w:t>στο</w:t>
      </w:r>
      <w:r w:rsidRPr="006C398A">
        <w:t> </w:t>
      </w:r>
      <w:r w:rsidRPr="006C398A">
        <w:rPr>
          <w:b/>
          <w:bCs/>
        </w:rPr>
        <w:t>secretariat</w:t>
      </w:r>
      <w:r w:rsidRPr="006C398A">
        <w:rPr>
          <w:b/>
          <w:bCs/>
          <w:lang w:val="el-GR"/>
        </w:rPr>
        <w:t>@</w:t>
      </w:r>
      <w:proofErr w:type="spellStart"/>
      <w:r w:rsidRPr="006C398A">
        <w:rPr>
          <w:b/>
          <w:bCs/>
        </w:rPr>
        <w:t>eio</w:t>
      </w:r>
      <w:proofErr w:type="spellEnd"/>
      <w:r w:rsidRPr="006C398A">
        <w:rPr>
          <w:b/>
          <w:bCs/>
          <w:lang w:val="el-GR"/>
        </w:rPr>
        <w:t>.</w:t>
      </w:r>
      <w:r w:rsidRPr="006C398A">
        <w:rPr>
          <w:b/>
          <w:bCs/>
        </w:rPr>
        <w:t>gr</w:t>
      </w:r>
      <w:r w:rsidRPr="006C398A">
        <w:t> </w:t>
      </w:r>
      <w:r w:rsidRPr="006C398A">
        <w:rPr>
          <w:lang w:val="el-GR"/>
        </w:rPr>
        <w:t>έως το τέλος της ημέρας,</w:t>
      </w:r>
      <w:r w:rsidRPr="006C398A">
        <w:t> </w:t>
      </w:r>
      <w:r w:rsidRPr="006C398A">
        <w:rPr>
          <w:b/>
          <w:bCs/>
          <w:lang w:val="el-GR"/>
        </w:rPr>
        <w:t>Τ</w:t>
      </w:r>
      <w:r w:rsidR="00ED7258">
        <w:rPr>
          <w:b/>
          <w:bCs/>
          <w:lang w:val="el-GR"/>
        </w:rPr>
        <w:t>ρίτη</w:t>
      </w:r>
      <w:r w:rsidRPr="006C398A">
        <w:rPr>
          <w:b/>
          <w:bCs/>
          <w:lang w:val="el-GR"/>
        </w:rPr>
        <w:t xml:space="preserve"> 1</w:t>
      </w:r>
      <w:r w:rsidR="00ED7258">
        <w:rPr>
          <w:b/>
          <w:bCs/>
          <w:lang w:val="el-GR"/>
        </w:rPr>
        <w:t>1</w:t>
      </w:r>
      <w:r w:rsidRPr="006C398A">
        <w:rPr>
          <w:b/>
          <w:bCs/>
          <w:lang w:val="el-GR"/>
        </w:rPr>
        <w:t xml:space="preserve"> Μαρτίου 2025</w:t>
      </w:r>
      <w:r w:rsidRPr="006C398A">
        <w:rPr>
          <w:lang w:val="el-GR"/>
        </w:rPr>
        <w:t>.</w:t>
      </w:r>
    </w:p>
    <w:p w14:paraId="3F4CD193" w14:textId="77777777" w:rsidR="00DB7897" w:rsidRPr="002E3119" w:rsidRDefault="00DB7897" w:rsidP="002E3119">
      <w:pPr>
        <w:jc w:val="center"/>
        <w:rPr>
          <w:b/>
          <w:bCs/>
          <w:sz w:val="28"/>
          <w:szCs w:val="28"/>
          <w:lang w:val="el-GR"/>
        </w:rPr>
      </w:pPr>
    </w:p>
    <w:p w14:paraId="0110C208" w14:textId="77777777" w:rsidR="00ED7258" w:rsidRPr="002E3119" w:rsidRDefault="00ED7258" w:rsidP="002E3119">
      <w:pPr>
        <w:jc w:val="center"/>
        <w:rPr>
          <w:b/>
          <w:bCs/>
          <w:sz w:val="28"/>
          <w:szCs w:val="28"/>
        </w:rPr>
      </w:pPr>
      <w:r w:rsidRPr="002E3119">
        <w:rPr>
          <w:b/>
          <w:bCs/>
          <w:sz w:val="28"/>
          <w:szCs w:val="28"/>
        </w:rPr>
        <w:t xml:space="preserve">Invitation for Applications – WISH </w:t>
      </w:r>
      <w:proofErr w:type="spellStart"/>
      <w:r w:rsidRPr="002E3119">
        <w:rPr>
          <w:b/>
          <w:bCs/>
          <w:sz w:val="28"/>
          <w:szCs w:val="28"/>
        </w:rPr>
        <w:t>Programme</w:t>
      </w:r>
      <w:proofErr w:type="spellEnd"/>
      <w:r w:rsidRPr="002E3119">
        <w:rPr>
          <w:b/>
          <w:bCs/>
          <w:sz w:val="28"/>
          <w:szCs w:val="28"/>
        </w:rPr>
        <w:t>: High-Performance Pathway for Women Coaches in Sport</w:t>
      </w:r>
    </w:p>
    <w:p w14:paraId="7AF06746" w14:textId="77777777" w:rsidR="002E3119" w:rsidRPr="002E3119" w:rsidRDefault="002E3119" w:rsidP="00ED7258">
      <w:pPr>
        <w:jc w:val="both"/>
      </w:pPr>
    </w:p>
    <w:p w14:paraId="73B6D560" w14:textId="77777777" w:rsidR="00ED7258" w:rsidRPr="00ED7258" w:rsidRDefault="00ED7258" w:rsidP="00ED7258">
      <w:pPr>
        <w:jc w:val="both"/>
      </w:pPr>
      <w:r w:rsidRPr="00ED7258">
        <w:t>The </w:t>
      </w:r>
      <w:r w:rsidRPr="00ED7258">
        <w:rPr>
          <w:b/>
          <w:bCs/>
        </w:rPr>
        <w:t>World Sailing Participation and Development Department</w:t>
      </w:r>
      <w:r w:rsidRPr="00ED7258">
        <w:t> is pleased to announce the third opportunity for women coaches to apply for the </w:t>
      </w:r>
      <w:r w:rsidRPr="00ED7258">
        <w:rPr>
          <w:b/>
          <w:bCs/>
        </w:rPr>
        <w:t xml:space="preserve">Women in Sport High-Performance Coaching </w:t>
      </w:r>
      <w:proofErr w:type="spellStart"/>
      <w:r w:rsidRPr="00ED7258">
        <w:rPr>
          <w:b/>
          <w:bCs/>
        </w:rPr>
        <w:t>Programme</w:t>
      </w:r>
      <w:proofErr w:type="spellEnd"/>
      <w:r w:rsidRPr="00ED7258">
        <w:t>, known as </w:t>
      </w:r>
      <w:r w:rsidRPr="00ED7258">
        <w:rPr>
          <w:b/>
          <w:bCs/>
        </w:rPr>
        <w:t>WISH</w:t>
      </w:r>
      <w:r w:rsidRPr="00ED7258">
        <w:t>.</w:t>
      </w:r>
    </w:p>
    <w:p w14:paraId="4824AD4D" w14:textId="77777777" w:rsidR="00ED7258" w:rsidRPr="00ED7258" w:rsidRDefault="00ED7258" w:rsidP="00ED7258">
      <w:pPr>
        <w:jc w:val="both"/>
      </w:pPr>
      <w:r w:rsidRPr="00ED7258">
        <w:t>The </w:t>
      </w:r>
      <w:r w:rsidRPr="00ED7258">
        <w:rPr>
          <w:b/>
          <w:bCs/>
        </w:rPr>
        <w:t xml:space="preserve">WISH </w:t>
      </w:r>
      <w:proofErr w:type="spellStart"/>
      <w:r w:rsidRPr="00ED7258">
        <w:rPr>
          <w:b/>
          <w:bCs/>
        </w:rPr>
        <w:t>Programme</w:t>
      </w:r>
      <w:proofErr w:type="spellEnd"/>
      <w:r w:rsidRPr="00ED7258">
        <w:t> has been developed by the </w:t>
      </w:r>
      <w:r w:rsidRPr="00ED7258">
        <w:rPr>
          <w:b/>
          <w:bCs/>
        </w:rPr>
        <w:t>IOC/Olympic Solidarity</w:t>
      </w:r>
      <w:r w:rsidRPr="00ED7258">
        <w:t>, the </w:t>
      </w:r>
      <w:r w:rsidRPr="00ED7258">
        <w:rPr>
          <w:b/>
          <w:bCs/>
        </w:rPr>
        <w:t>Association of Summer Olympic International Federations (ASOIF)</w:t>
      </w:r>
      <w:r w:rsidRPr="00ED7258">
        <w:t>, the </w:t>
      </w:r>
      <w:r w:rsidRPr="00ED7258">
        <w:rPr>
          <w:b/>
          <w:bCs/>
        </w:rPr>
        <w:t>Association of International Olympic Winter Sports Federations (AIOWF)</w:t>
      </w:r>
      <w:r w:rsidRPr="00ED7258">
        <w:t>, and several International Federations already engaged in initiatives aimed at increasing opportunities and pathways for </w:t>
      </w:r>
      <w:r w:rsidRPr="00ED7258">
        <w:rPr>
          <w:b/>
          <w:bCs/>
        </w:rPr>
        <w:t>high-performance women coaches</w:t>
      </w:r>
      <w:r w:rsidRPr="00ED7258">
        <w:t>.</w:t>
      </w:r>
    </w:p>
    <w:p w14:paraId="42192C54" w14:textId="77777777" w:rsidR="00ED7258" w:rsidRPr="00ED7258" w:rsidRDefault="00ED7258" w:rsidP="00ED7258">
      <w:pPr>
        <w:jc w:val="both"/>
      </w:pPr>
      <w:r w:rsidRPr="00ED7258">
        <w:t>This </w:t>
      </w:r>
      <w:r w:rsidRPr="00ED7258">
        <w:rPr>
          <w:b/>
          <w:bCs/>
        </w:rPr>
        <w:t xml:space="preserve">21-month </w:t>
      </w:r>
      <w:proofErr w:type="spellStart"/>
      <w:r w:rsidRPr="00ED7258">
        <w:rPr>
          <w:b/>
          <w:bCs/>
        </w:rPr>
        <w:t>programme</w:t>
      </w:r>
      <w:proofErr w:type="spellEnd"/>
      <w:r w:rsidRPr="00ED7258">
        <w:t> provides women who are currently involved or have the potential to be involved in elite coaching with </w:t>
      </w:r>
      <w:r w:rsidRPr="00ED7258">
        <w:rPr>
          <w:b/>
          <w:bCs/>
        </w:rPr>
        <w:t>leadership training, leadership mentoring, and sport-specific mentoring</w:t>
      </w:r>
      <w:r w:rsidRPr="00ED7258">
        <w:t>. </w:t>
      </w:r>
      <w:r w:rsidRPr="00ED7258">
        <w:rPr>
          <w:b/>
          <w:bCs/>
        </w:rPr>
        <w:t xml:space="preserve">Please note that this is not a technical sailing skills coaching </w:t>
      </w:r>
      <w:proofErr w:type="spellStart"/>
      <w:r w:rsidRPr="00ED7258">
        <w:rPr>
          <w:b/>
          <w:bCs/>
        </w:rPr>
        <w:t>programme</w:t>
      </w:r>
      <w:proofErr w:type="spellEnd"/>
      <w:r w:rsidRPr="00ED7258">
        <w:rPr>
          <w:b/>
          <w:bCs/>
        </w:rPr>
        <w:t>.</w:t>
      </w:r>
    </w:p>
    <w:p w14:paraId="5AC665AF" w14:textId="77777777" w:rsidR="00ED7258" w:rsidRPr="00ED7258" w:rsidRDefault="00ED7258" w:rsidP="00ED7258">
      <w:pPr>
        <w:jc w:val="both"/>
      </w:pPr>
      <w:r w:rsidRPr="00ED7258">
        <w:t>The selected coaches must already be, or have the potential to be, part of a national delegation for the </w:t>
      </w:r>
      <w:r w:rsidRPr="00ED7258">
        <w:rPr>
          <w:b/>
          <w:bCs/>
        </w:rPr>
        <w:t>Regional or Continental Games, World Championships, Youth Olympic Games (YOG), and/or the Olympic Games in Sailing.</w:t>
      </w:r>
    </w:p>
    <w:p w14:paraId="0837DC3F" w14:textId="77777777" w:rsidR="00ED7258" w:rsidRPr="00ED7258" w:rsidRDefault="00ED7258" w:rsidP="00ED7258">
      <w:pPr>
        <w:jc w:val="both"/>
      </w:pPr>
      <w:r w:rsidRPr="00ED7258">
        <w:t>We invite </w:t>
      </w:r>
      <w:r w:rsidRPr="00ED7258">
        <w:rPr>
          <w:b/>
          <w:bCs/>
        </w:rPr>
        <w:t>Member National Authorities (MNAs)</w:t>
      </w:r>
      <w:r w:rsidRPr="00ED7258">
        <w:t> to nominate women coaches who meet the following criteria:</w:t>
      </w:r>
    </w:p>
    <w:p w14:paraId="6208FF0D" w14:textId="77777777" w:rsidR="00ED7258" w:rsidRPr="00ED7258" w:rsidRDefault="00ED7258" w:rsidP="00ED7258">
      <w:pPr>
        <w:numPr>
          <w:ilvl w:val="0"/>
          <w:numId w:val="4"/>
        </w:numPr>
        <w:jc w:val="both"/>
      </w:pPr>
      <w:r w:rsidRPr="00ED7258">
        <w:t xml:space="preserve">Have already integrated or have the potential to integrate into national </w:t>
      </w:r>
      <w:proofErr w:type="spellStart"/>
      <w:r w:rsidRPr="00ED7258">
        <w:t>programmes</w:t>
      </w:r>
      <w:proofErr w:type="spellEnd"/>
      <w:r w:rsidRPr="00ED7258">
        <w:t xml:space="preserve"> aimed at qualifying athletes for the </w:t>
      </w:r>
      <w:r w:rsidRPr="00ED7258">
        <w:rPr>
          <w:b/>
          <w:bCs/>
        </w:rPr>
        <w:t>Regional or Continental Games, YOG, World Championships, and Olympic Games</w:t>
      </w:r>
      <w:r w:rsidRPr="00ED7258">
        <w:t> through international events or the </w:t>
      </w:r>
      <w:r w:rsidRPr="00ED7258">
        <w:rPr>
          <w:b/>
          <w:bCs/>
        </w:rPr>
        <w:t>Tripartite System</w:t>
      </w:r>
      <w:r w:rsidRPr="00ED7258">
        <w:t>. (</w:t>
      </w:r>
      <w:r w:rsidRPr="00ED7258">
        <w:rPr>
          <w:b/>
          <w:bCs/>
        </w:rPr>
        <w:t xml:space="preserve">Supporting letter from </w:t>
      </w:r>
      <w:r>
        <w:rPr>
          <w:b/>
          <w:bCs/>
        </w:rPr>
        <w:t>HSF</w:t>
      </w:r>
      <w:r w:rsidRPr="00ED7258">
        <w:rPr>
          <w:b/>
          <w:bCs/>
        </w:rPr>
        <w:t xml:space="preserve"> required.</w:t>
      </w:r>
      <w:r w:rsidRPr="00ED7258">
        <w:t>)</w:t>
      </w:r>
    </w:p>
    <w:p w14:paraId="0E2D8F56" w14:textId="77777777" w:rsidR="00ED7258" w:rsidRPr="00ED7258" w:rsidRDefault="00ED7258" w:rsidP="00ED7258">
      <w:pPr>
        <w:numPr>
          <w:ilvl w:val="0"/>
          <w:numId w:val="4"/>
        </w:numPr>
        <w:jc w:val="both"/>
      </w:pPr>
      <w:r w:rsidRPr="00ED7258">
        <w:rPr>
          <w:b/>
          <w:bCs/>
        </w:rPr>
        <w:t>Have no history of</w:t>
      </w:r>
      <w:r w:rsidRPr="00ED7258">
        <w:t> anti-doping violations, safeguarding violations, competition manipulation, or other ethical breaches. (</w:t>
      </w:r>
      <w:r w:rsidRPr="00ED7258">
        <w:rPr>
          <w:b/>
          <w:bCs/>
        </w:rPr>
        <w:t>A statutory declaration via gov.gr is required.</w:t>
      </w:r>
      <w:r w:rsidRPr="00ED7258">
        <w:t>)</w:t>
      </w:r>
    </w:p>
    <w:p w14:paraId="04E08227" w14:textId="77777777" w:rsidR="00ED7258" w:rsidRPr="00ED7258" w:rsidRDefault="00ED7258" w:rsidP="00ED7258">
      <w:pPr>
        <w:numPr>
          <w:ilvl w:val="0"/>
          <w:numId w:val="4"/>
        </w:numPr>
        <w:jc w:val="both"/>
      </w:pPr>
      <w:r w:rsidRPr="00ED7258">
        <w:t>Are able to </w:t>
      </w:r>
      <w:r w:rsidRPr="00ED7258">
        <w:rPr>
          <w:b/>
          <w:bCs/>
        </w:rPr>
        <w:t xml:space="preserve">commit to the entire </w:t>
      </w:r>
      <w:proofErr w:type="spellStart"/>
      <w:r w:rsidRPr="00ED7258">
        <w:rPr>
          <w:b/>
          <w:bCs/>
        </w:rPr>
        <w:t>programme</w:t>
      </w:r>
      <w:proofErr w:type="spellEnd"/>
      <w:r w:rsidRPr="00ED7258">
        <w:t>, including:</w:t>
      </w:r>
    </w:p>
    <w:p w14:paraId="33EDD694" w14:textId="77777777" w:rsidR="00ED7258" w:rsidRPr="00ED7258" w:rsidRDefault="00ED7258" w:rsidP="00ED7258">
      <w:pPr>
        <w:numPr>
          <w:ilvl w:val="1"/>
          <w:numId w:val="4"/>
        </w:numPr>
        <w:jc w:val="both"/>
      </w:pPr>
      <w:r w:rsidRPr="00ED7258">
        <w:rPr>
          <w:b/>
          <w:bCs/>
        </w:rPr>
        <w:t xml:space="preserve">Online </w:t>
      </w:r>
      <w:proofErr w:type="spellStart"/>
      <w:r w:rsidRPr="00ED7258">
        <w:rPr>
          <w:b/>
          <w:bCs/>
        </w:rPr>
        <w:t>programme</w:t>
      </w:r>
      <w:proofErr w:type="spellEnd"/>
      <w:r w:rsidRPr="00ED7258">
        <w:rPr>
          <w:b/>
          <w:bCs/>
        </w:rPr>
        <w:t xml:space="preserve"> start date:</w:t>
      </w:r>
      <w:r w:rsidRPr="00ED7258">
        <w:t> </w:t>
      </w:r>
      <w:r w:rsidRPr="00ED7258">
        <w:rPr>
          <w:b/>
          <w:bCs/>
        </w:rPr>
        <w:t>5 May 2025</w:t>
      </w:r>
    </w:p>
    <w:p w14:paraId="464DBF63" w14:textId="77777777" w:rsidR="00ED7258" w:rsidRPr="00ED7258" w:rsidRDefault="00ED7258" w:rsidP="00ED7258">
      <w:pPr>
        <w:numPr>
          <w:ilvl w:val="1"/>
          <w:numId w:val="4"/>
        </w:numPr>
        <w:jc w:val="both"/>
      </w:pPr>
      <w:r w:rsidRPr="00ED7258">
        <w:rPr>
          <w:b/>
          <w:bCs/>
        </w:rPr>
        <w:t>Availability for the in-person residential session:</w:t>
      </w:r>
      <w:r w:rsidRPr="00ED7258">
        <w:t> </w:t>
      </w:r>
      <w:r w:rsidRPr="00ED7258">
        <w:rPr>
          <w:b/>
          <w:bCs/>
        </w:rPr>
        <w:t>28 July – 1 August 2025 in the UK</w:t>
      </w:r>
      <w:r w:rsidRPr="00ED7258">
        <w:t> (</w:t>
      </w:r>
      <w:r w:rsidRPr="00ED7258">
        <w:rPr>
          <w:b/>
          <w:bCs/>
        </w:rPr>
        <w:t>A statutory declaration via gov.gr is required.</w:t>
      </w:r>
      <w:r w:rsidRPr="00ED7258">
        <w:t>)</w:t>
      </w:r>
    </w:p>
    <w:p w14:paraId="2FB407B7" w14:textId="77777777" w:rsidR="00ED7258" w:rsidRPr="00ED7258" w:rsidRDefault="00ED7258" w:rsidP="00ED7258">
      <w:pPr>
        <w:numPr>
          <w:ilvl w:val="0"/>
          <w:numId w:val="4"/>
        </w:numPr>
        <w:jc w:val="both"/>
      </w:pPr>
      <w:r w:rsidRPr="00ED7258">
        <w:t>Have a </w:t>
      </w:r>
      <w:r w:rsidRPr="00ED7258">
        <w:rPr>
          <w:b/>
          <w:bCs/>
        </w:rPr>
        <w:t>good level of written and spoken English</w:t>
      </w:r>
      <w:r w:rsidRPr="00ED7258">
        <w:t> (minimum </w:t>
      </w:r>
      <w:r w:rsidRPr="00ED7258">
        <w:rPr>
          <w:b/>
          <w:bCs/>
        </w:rPr>
        <w:t>IELTS 6.5</w:t>
      </w:r>
      <w:r w:rsidRPr="00ED7258">
        <w:t>) (</w:t>
      </w:r>
      <w:r w:rsidRPr="00ED7258">
        <w:rPr>
          <w:b/>
          <w:bCs/>
        </w:rPr>
        <w:t>English language certification required.</w:t>
      </w:r>
      <w:r w:rsidRPr="00ED7258">
        <w:t>)</w:t>
      </w:r>
    </w:p>
    <w:p w14:paraId="2898CDA6" w14:textId="77777777" w:rsidR="00ED7258" w:rsidRPr="00ED7258" w:rsidRDefault="00ED7258" w:rsidP="00ED7258">
      <w:pPr>
        <w:numPr>
          <w:ilvl w:val="0"/>
          <w:numId w:val="4"/>
        </w:numPr>
        <w:jc w:val="both"/>
      </w:pPr>
      <w:r w:rsidRPr="00ED7258">
        <w:t>Provide a </w:t>
      </w:r>
      <w:r w:rsidRPr="00ED7258">
        <w:rPr>
          <w:b/>
          <w:bCs/>
        </w:rPr>
        <w:t>CV in English</w:t>
      </w:r>
      <w:r w:rsidRPr="00ED7258">
        <w:t>.</w:t>
      </w:r>
    </w:p>
    <w:p w14:paraId="09162ECD" w14:textId="77777777" w:rsidR="00ED7258" w:rsidRPr="00ED7258" w:rsidRDefault="00ED7258" w:rsidP="00ED7258">
      <w:pPr>
        <w:numPr>
          <w:ilvl w:val="0"/>
          <w:numId w:val="4"/>
        </w:numPr>
        <w:jc w:val="both"/>
      </w:pPr>
      <w:r w:rsidRPr="00ED7258">
        <w:t>Submit a </w:t>
      </w:r>
      <w:r w:rsidRPr="00ED7258">
        <w:rPr>
          <w:b/>
          <w:bCs/>
        </w:rPr>
        <w:t>copy of their passport</w:t>
      </w:r>
      <w:r w:rsidRPr="00ED7258">
        <w:t>, ideally valid for the dates requiring in-person attendance.</w:t>
      </w:r>
    </w:p>
    <w:p w14:paraId="330E2B9E" w14:textId="77777777" w:rsidR="00ED7258" w:rsidRDefault="00ED7258" w:rsidP="00ED7258">
      <w:pPr>
        <w:jc w:val="both"/>
      </w:pPr>
    </w:p>
    <w:p w14:paraId="41AC0844" w14:textId="77777777" w:rsidR="00ED7258" w:rsidRPr="00ED7258" w:rsidRDefault="00ED7258" w:rsidP="00ED7258">
      <w:pPr>
        <w:jc w:val="both"/>
      </w:pPr>
      <w:r w:rsidRPr="00ED7258">
        <w:t>Additionally, </w:t>
      </w:r>
      <w:r w:rsidRPr="00ED7258">
        <w:rPr>
          <w:b/>
          <w:bCs/>
        </w:rPr>
        <w:t>National Olympic Committees (NOCs) and National Federations (NFs)</w:t>
      </w:r>
      <w:r w:rsidRPr="00ED7258">
        <w:t> must agree to integrate these coaches into the preparation, education, and training activities in the lead-up to the </w:t>
      </w:r>
      <w:r w:rsidRPr="00ED7258">
        <w:rPr>
          <w:b/>
          <w:bCs/>
        </w:rPr>
        <w:t>Regional, Continental, and Olympic Games</w:t>
      </w:r>
      <w:r w:rsidRPr="00ED7258">
        <w:t>, as part of their national delegations for </w:t>
      </w:r>
      <w:r w:rsidRPr="00ED7258">
        <w:rPr>
          <w:b/>
          <w:bCs/>
        </w:rPr>
        <w:t>Dakar 2026 and/or Los Angeles 2028</w:t>
      </w:r>
      <w:r w:rsidRPr="00ED7258">
        <w:t>.</w:t>
      </w:r>
    </w:p>
    <w:p w14:paraId="7FC5F78F" w14:textId="77777777" w:rsidR="00ED7258" w:rsidRPr="00ED7258" w:rsidRDefault="00ED7258" w:rsidP="00ED7258">
      <w:pPr>
        <w:jc w:val="both"/>
      </w:pPr>
      <w:r w:rsidRPr="00ED7258">
        <w:t>Interested candidates must submit their </w:t>
      </w:r>
      <w:r w:rsidRPr="00ED7258">
        <w:rPr>
          <w:b/>
          <w:bCs/>
        </w:rPr>
        <w:t>CV, English language certification, passport copy, and statutory declarations</w:t>
      </w:r>
      <w:r>
        <w:rPr>
          <w:b/>
          <w:bCs/>
        </w:rPr>
        <w:t xml:space="preserve"> </w:t>
      </w:r>
      <w:r w:rsidRPr="00ED7258">
        <w:t>to </w:t>
      </w:r>
      <w:r w:rsidRPr="00ED7258">
        <w:rPr>
          <w:b/>
          <w:bCs/>
        </w:rPr>
        <w:t>secretariat@eio.gr</w:t>
      </w:r>
      <w:r w:rsidRPr="00ED7258">
        <w:t> by the </w:t>
      </w:r>
      <w:r w:rsidRPr="00ED7258">
        <w:rPr>
          <w:b/>
          <w:bCs/>
        </w:rPr>
        <w:t>end of the day on Tuesday, 11 March 2025</w:t>
      </w:r>
      <w:r w:rsidRPr="00ED7258">
        <w:t>.</w:t>
      </w:r>
    </w:p>
    <w:p w14:paraId="68B72780" w14:textId="77777777" w:rsidR="00ED7258" w:rsidRPr="00ED7258" w:rsidRDefault="00ED7258" w:rsidP="00ED7258">
      <w:pPr>
        <w:jc w:val="both"/>
      </w:pPr>
    </w:p>
    <w:p w14:paraId="557351C2" w14:textId="77777777" w:rsidR="006C398A" w:rsidRPr="006C398A" w:rsidRDefault="006C398A" w:rsidP="006C398A">
      <w:pPr>
        <w:jc w:val="both"/>
      </w:pPr>
    </w:p>
    <w:sectPr w:rsidR="006C398A" w:rsidRPr="006C398A" w:rsidSect="00ED7258">
      <w:pgSz w:w="12240" w:h="15840"/>
      <w:pgMar w:top="1440" w:right="1440" w:bottom="8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739BC"/>
    <w:multiLevelType w:val="multilevel"/>
    <w:tmpl w:val="4552B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54780"/>
    <w:multiLevelType w:val="multilevel"/>
    <w:tmpl w:val="A01A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0D3F9C"/>
    <w:multiLevelType w:val="multilevel"/>
    <w:tmpl w:val="1BEA2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A0F79"/>
    <w:multiLevelType w:val="multilevel"/>
    <w:tmpl w:val="7C1A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C4"/>
    <w:rsid w:val="000B0783"/>
    <w:rsid w:val="002E3119"/>
    <w:rsid w:val="006C398A"/>
    <w:rsid w:val="0082447D"/>
    <w:rsid w:val="00C815FD"/>
    <w:rsid w:val="00CC7044"/>
    <w:rsid w:val="00CF5BC0"/>
    <w:rsid w:val="00DB7897"/>
    <w:rsid w:val="00E65370"/>
    <w:rsid w:val="00ED7258"/>
    <w:rsid w:val="00EE7893"/>
    <w:rsid w:val="00F2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06CA"/>
  <w15:chartTrackingRefBased/>
  <w15:docId w15:val="{7425AD15-5B91-2745-B60D-E3CE5A88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27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7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7C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7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7C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7C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7C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7C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7C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27C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27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27C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27CC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27CC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27CC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27CC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27CC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27C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27C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27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7C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27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7C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27CC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7CC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7CC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7C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27CC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27CC4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27CC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27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5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gr/ipiresies/polites-kai-kathemerinoteta/psephiaka-eggrapha-gov-gr/ekdose-upeuthunes-deloses" TargetMode="External"/><Relationship Id="rId5" Type="http://schemas.openxmlformats.org/officeDocument/2006/relationships/hyperlink" Target="https://www.gov.gr/ipiresies/polites-kai-kathemerinoteta/psephiaka-eggrapha-gov-gr/ekdose-upeuthunes-delo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943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Macbook Air</dc:creator>
  <cp:keywords/>
  <dc:description/>
  <cp:lastModifiedBy>Niki</cp:lastModifiedBy>
  <cp:revision>2</cp:revision>
  <dcterms:created xsi:type="dcterms:W3CDTF">2025-03-06T20:21:00Z</dcterms:created>
  <dcterms:modified xsi:type="dcterms:W3CDTF">2025-03-06T20:21:00Z</dcterms:modified>
</cp:coreProperties>
</file>